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9C" w:rsidRDefault="004F699C" w:rsidP="003674C6">
      <w:pPr>
        <w:autoSpaceDE w:val="0"/>
        <w:autoSpaceDN w:val="0"/>
        <w:adjustRightInd w:val="0"/>
        <w:spacing w:after="0" w:line="240" w:lineRule="auto"/>
        <w:ind w:right="758"/>
        <w:jc w:val="center"/>
        <w:rPr>
          <w:rFonts w:ascii="Arial" w:eastAsia="Times New Roman" w:hAnsi="Arial" w:cs="Arial"/>
          <w:b/>
          <w:caps/>
          <w:lang w:val="es-ES" w:eastAsia="es-ES"/>
        </w:rPr>
      </w:pPr>
      <w:r w:rsidRPr="004F699C">
        <w:rPr>
          <w:rFonts w:ascii="Arial" w:eastAsia="Times New Roman" w:hAnsi="Arial" w:cs="Arial"/>
          <w:b/>
          <w:caps/>
          <w:lang w:val="es-ES" w:eastAsia="es-ES"/>
        </w:rPr>
        <w:t>Reg</w:t>
      </w:r>
      <w:r w:rsidR="003674C6">
        <w:rPr>
          <w:rFonts w:ascii="Arial" w:eastAsia="Times New Roman" w:hAnsi="Arial" w:cs="Arial"/>
          <w:b/>
          <w:caps/>
          <w:lang w:val="es-ES" w:eastAsia="es-ES"/>
        </w:rPr>
        <w:t>lamento dE MERCADOS MUNICIPALES</w:t>
      </w:r>
    </w:p>
    <w:p w:rsidR="003674C6" w:rsidRPr="004F699C" w:rsidRDefault="003674C6" w:rsidP="003674C6">
      <w:pPr>
        <w:autoSpaceDE w:val="0"/>
        <w:autoSpaceDN w:val="0"/>
        <w:adjustRightInd w:val="0"/>
        <w:spacing w:after="0" w:line="240" w:lineRule="auto"/>
        <w:ind w:right="758"/>
        <w:jc w:val="center"/>
        <w:rPr>
          <w:rFonts w:ascii="Arial" w:eastAsia="Times New Roman" w:hAnsi="Arial" w:cs="Arial"/>
          <w:b/>
          <w:caps/>
          <w:lang w:val="es-ES" w:eastAsia="es-ES"/>
        </w:rPr>
      </w:pPr>
      <w:bookmarkStart w:id="0" w:name="_GoBack"/>
      <w:bookmarkEnd w:id="0"/>
    </w:p>
    <w:tbl>
      <w:tblPr>
        <w:tblStyle w:val="Tablaconcuadrcula"/>
        <w:tblW w:w="0" w:type="auto"/>
        <w:tblLook w:val="04A0" w:firstRow="1" w:lastRow="0" w:firstColumn="1" w:lastColumn="0" w:noHBand="0" w:noVBand="1"/>
      </w:tblPr>
      <w:tblGrid>
        <w:gridCol w:w="4489"/>
        <w:gridCol w:w="4489"/>
      </w:tblGrid>
      <w:tr w:rsidR="004F699C" w:rsidRPr="004F699C" w:rsidTr="007B0206">
        <w:tc>
          <w:tcPr>
            <w:tcW w:w="4489" w:type="dxa"/>
          </w:tcPr>
          <w:p w:rsidR="004F699C" w:rsidRPr="004F699C" w:rsidRDefault="004F699C" w:rsidP="004F699C">
            <w:pPr>
              <w:jc w:val="center"/>
              <w:rPr>
                <w:rFonts w:ascii="Arial" w:eastAsia="Times New Roman" w:hAnsi="Arial" w:cs="Arial"/>
                <w:b/>
                <w:lang w:val="es-ES" w:eastAsia="es-ES"/>
              </w:rPr>
            </w:pPr>
            <w:r w:rsidRPr="004F699C">
              <w:rPr>
                <w:rFonts w:ascii="Arial" w:eastAsia="Times New Roman" w:hAnsi="Arial" w:cs="Arial"/>
                <w:b/>
                <w:lang w:val="es-ES" w:eastAsia="es-ES"/>
              </w:rPr>
              <w:t>DICE</w:t>
            </w:r>
          </w:p>
        </w:tc>
        <w:tc>
          <w:tcPr>
            <w:tcW w:w="4489" w:type="dxa"/>
          </w:tcPr>
          <w:p w:rsidR="004F699C" w:rsidRPr="004F699C" w:rsidRDefault="004F699C" w:rsidP="004F699C">
            <w:pPr>
              <w:jc w:val="center"/>
              <w:rPr>
                <w:rFonts w:ascii="Arial" w:eastAsia="Times New Roman" w:hAnsi="Arial" w:cs="Arial"/>
                <w:b/>
                <w:lang w:val="es-ES" w:eastAsia="es-ES"/>
              </w:rPr>
            </w:pPr>
            <w:r w:rsidRPr="004F699C">
              <w:rPr>
                <w:rFonts w:ascii="Arial" w:eastAsia="Times New Roman" w:hAnsi="Arial" w:cs="Arial"/>
                <w:b/>
                <w:lang w:val="es-ES" w:eastAsia="es-ES"/>
              </w:rPr>
              <w:t>DEBE DECIR</w:t>
            </w:r>
          </w:p>
        </w:tc>
      </w:tr>
      <w:tr w:rsidR="004F699C" w:rsidRPr="004F699C" w:rsidTr="007B0206">
        <w:trPr>
          <w:trHeight w:val="800"/>
        </w:trPr>
        <w:tc>
          <w:tcPr>
            <w:tcW w:w="4489" w:type="dxa"/>
          </w:tcPr>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spacing w:after="160" w:line="259" w:lineRule="auto"/>
              <w:jc w:val="both"/>
              <w:rPr>
                <w:rFonts w:ascii="Arial" w:eastAsia="Times New Roman" w:hAnsi="Arial" w:cs="Arial"/>
                <w:lang w:val="es-ES" w:eastAsia="es-ES"/>
              </w:rPr>
            </w:pPr>
            <w:r w:rsidRPr="004F699C">
              <w:rPr>
                <w:rFonts w:ascii="Arial" w:eastAsia="Calibri" w:hAnsi="Arial" w:cs="Times New Roman"/>
                <w:szCs w:val="20"/>
                <w:lang w:val="es-ES_tradnl"/>
              </w:rPr>
              <w:t>ARTÍCULO 2. El funcionamiento de los mercados municipales será operado y vigilado por conducto de la Dirección de Comercio, dependencia de la Secretaría del R. Ayuntamiento o la dependencia que, de acuerdo con el Reglamento de la Administración Pública del Municipio de Monterrey, tenga las atribuciones mencionadas. El servicio de los mercados municipales podrá ser prestado por particulares, previo acuerdo del R. Ayuntamiento por el cual se otorgue la concesión respectiva.</w:t>
            </w:r>
          </w:p>
        </w:tc>
        <w:tc>
          <w:tcPr>
            <w:tcW w:w="4489" w:type="dxa"/>
          </w:tcPr>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Helvetica" w:hAnsi="Arial" w:cs="Arial"/>
                <w:color w:val="000000"/>
                <w:szCs w:val="18"/>
                <w:bdr w:val="nil"/>
                <w:lang w:eastAsia="es-MX"/>
              </w:rPr>
            </w:pPr>
            <w:r w:rsidRPr="004F699C">
              <w:rPr>
                <w:rFonts w:ascii="Arial" w:eastAsia="Calibri" w:hAnsi="Arial" w:cs="Times New Roman"/>
                <w:color w:val="000000"/>
                <w:szCs w:val="20"/>
                <w:bdr w:val="nil"/>
                <w:lang w:val="es-ES_tradnl"/>
              </w:rPr>
              <w:t>ARTÍCULO 2. El funcionamiento de los mercados municipales será operado y vigilado por conducto de la Dirección de Comercio, dependencia de la Secretaría del Ayuntamiento o la dependencia que, de acuerdo con el Reglamento de la Administración Pública del Municipio de Monterrey, tenga las atribuciones mencionadas. El servicio de los mercados municipales podrá ser prestado por particulares, previo acuerdo del Ayuntamiento por el cual se otorgue la concesión respectiva.</w:t>
            </w:r>
          </w:p>
        </w:tc>
      </w:tr>
      <w:tr w:rsidR="004F699C" w:rsidRPr="004F699C" w:rsidTr="007B0206">
        <w:trPr>
          <w:trHeight w:val="1467"/>
        </w:trPr>
        <w:tc>
          <w:tcPr>
            <w:tcW w:w="4489" w:type="dxa"/>
          </w:tcPr>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ARTÍCULO 3. Las concesiones que se otorguen a particulares en relación a los mercados municipales se regularán por las disposiciones de la Ley Orgánica de la Administración Pública Municipal.</w:t>
            </w:r>
          </w:p>
        </w:tc>
        <w:tc>
          <w:tcPr>
            <w:tcW w:w="4489" w:type="dxa"/>
          </w:tcPr>
          <w:p w:rsidR="004F699C" w:rsidRPr="004F699C" w:rsidRDefault="004F699C" w:rsidP="004F699C">
            <w:pPr>
              <w:jc w:val="both"/>
              <w:rPr>
                <w:rFonts w:ascii="Arial" w:eastAsia="Helvetica" w:hAnsi="Arial" w:cs="Arial"/>
                <w:color w:val="000000"/>
                <w:szCs w:val="18"/>
                <w:bdr w:val="nil"/>
                <w:lang w:eastAsia="es-MX"/>
              </w:rPr>
            </w:pPr>
          </w:p>
          <w:p w:rsidR="004F699C" w:rsidRPr="004F699C" w:rsidRDefault="004F699C" w:rsidP="004F699C">
            <w:pPr>
              <w:pBdr>
                <w:top w:val="nil"/>
                <w:left w:val="nil"/>
                <w:bottom w:val="nil"/>
                <w:right w:val="nil"/>
                <w:between w:val="nil"/>
                <w:bar w:val="nil"/>
              </w:pBdr>
              <w:jc w:val="both"/>
              <w:rPr>
                <w:rFonts w:ascii="Arial" w:eastAsia="Helvetica" w:hAnsi="Arial" w:cs="Arial"/>
                <w:color w:val="000000"/>
                <w:szCs w:val="18"/>
                <w:bdr w:val="nil"/>
                <w:lang w:eastAsia="es-MX"/>
              </w:rPr>
            </w:pPr>
            <w:r w:rsidRPr="004F699C">
              <w:rPr>
                <w:rFonts w:ascii="Arial" w:eastAsia="Helvetica" w:hAnsi="Arial" w:cs="Arial"/>
                <w:color w:val="000000"/>
                <w:szCs w:val="18"/>
                <w:bdr w:val="nil"/>
                <w:lang w:eastAsia="es-MX"/>
              </w:rPr>
              <w:t>ARTÍCULO 3. Las concesiones que se otorguen a particulares en relación a los mercados municipales se regularán por las disposiciones de la Ley de Gobierno Municipal del Estado de Nuevo León.</w:t>
            </w:r>
          </w:p>
          <w:p w:rsidR="004F699C" w:rsidRPr="004F699C" w:rsidRDefault="004F699C" w:rsidP="004F699C">
            <w:pPr>
              <w:pBdr>
                <w:top w:val="nil"/>
                <w:left w:val="nil"/>
                <w:bottom w:val="nil"/>
                <w:right w:val="nil"/>
                <w:between w:val="nil"/>
                <w:bar w:val="nil"/>
              </w:pBdr>
              <w:jc w:val="both"/>
              <w:rPr>
                <w:rFonts w:ascii="Arial" w:eastAsia="Helvetica" w:hAnsi="Arial" w:cs="Arial"/>
                <w:color w:val="000000"/>
                <w:szCs w:val="18"/>
                <w:bdr w:val="nil"/>
                <w:lang w:eastAsia="es-MX"/>
              </w:rPr>
            </w:pPr>
          </w:p>
        </w:tc>
      </w:tr>
      <w:tr w:rsidR="004F699C" w:rsidRPr="004F699C" w:rsidTr="007B0206">
        <w:trPr>
          <w:trHeight w:val="2467"/>
        </w:trPr>
        <w:tc>
          <w:tcPr>
            <w:tcW w:w="4489" w:type="dxa"/>
          </w:tcPr>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ARTÍCULO 14.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 a e)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f) Síndico Segundo en ejercicio de las atribuciones que se señalan en la Ley Orgánica de la Administración Pública Municipal, o como representante legal del Municipio.</w:t>
            </w:r>
          </w:p>
        </w:tc>
        <w:tc>
          <w:tcPr>
            <w:tcW w:w="4489" w:type="dxa"/>
          </w:tcPr>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ARTÍCULO 14.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 a e)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Helvetica" w:hAnsi="Arial" w:cs="Arial"/>
                <w:color w:val="000000"/>
                <w:szCs w:val="18"/>
                <w:bdr w:val="nil"/>
                <w:lang w:eastAsia="es-MX"/>
              </w:rPr>
            </w:pPr>
            <w:r w:rsidRPr="004F699C">
              <w:rPr>
                <w:rFonts w:ascii="Arial" w:eastAsia="Helvetica" w:hAnsi="Arial" w:cs="Arial"/>
                <w:color w:val="000000"/>
                <w:bdr w:val="nil"/>
                <w:lang w:eastAsia="es-MX"/>
              </w:rPr>
              <w:t>f) Síndico Segundo en ejercicio de las atribuciones que se señalan en la Ley de Gobierno Municipal del Estado de Nuevo León, o como representante del Ayuntamiento, la cual será ejercida de manera mancomunada con el Presidente Municipal.</w:t>
            </w:r>
          </w:p>
          <w:p w:rsidR="004F699C" w:rsidRPr="004F699C" w:rsidRDefault="004F699C" w:rsidP="004F699C">
            <w:pPr>
              <w:pBdr>
                <w:top w:val="nil"/>
                <w:left w:val="nil"/>
                <w:bottom w:val="nil"/>
                <w:right w:val="nil"/>
                <w:between w:val="nil"/>
                <w:bar w:val="nil"/>
              </w:pBdr>
              <w:jc w:val="both"/>
              <w:rPr>
                <w:rFonts w:ascii="Arial" w:eastAsia="Helvetica" w:hAnsi="Arial" w:cs="Arial"/>
                <w:color w:val="000000"/>
                <w:szCs w:val="18"/>
                <w:bdr w:val="nil"/>
                <w:lang w:eastAsia="es-MX"/>
              </w:rPr>
            </w:pPr>
          </w:p>
        </w:tc>
      </w:tr>
      <w:tr w:rsidR="004F699C" w:rsidRPr="004F699C" w:rsidTr="007B0206">
        <w:trPr>
          <w:trHeight w:val="3107"/>
        </w:trPr>
        <w:tc>
          <w:tcPr>
            <w:tcW w:w="4489" w:type="dxa"/>
          </w:tcPr>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ARTÍCULO 15.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 xml:space="preserve"> </w:t>
            </w:r>
            <w:proofErr w:type="spellStart"/>
            <w:r w:rsidRPr="004F699C">
              <w:rPr>
                <w:rFonts w:ascii="Arial" w:eastAsia="Times New Roman" w:hAnsi="Arial" w:cs="Arial"/>
                <w:lang w:val="es-ES" w:eastAsia="es-ES"/>
              </w:rPr>
              <w:t>I.a</w:t>
            </w:r>
            <w:proofErr w:type="spellEnd"/>
            <w:r w:rsidRPr="004F699C">
              <w:rPr>
                <w:rFonts w:ascii="Arial" w:eastAsia="Times New Roman" w:hAnsi="Arial" w:cs="Arial"/>
                <w:lang w:val="es-ES" w:eastAsia="es-ES"/>
              </w:rPr>
              <w:t xml:space="preserve"> III.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spacing w:after="160" w:line="259" w:lineRule="auto"/>
              <w:jc w:val="both"/>
              <w:rPr>
                <w:rFonts w:ascii="Arial" w:eastAsia="Calibri" w:hAnsi="Arial" w:cs="Times New Roman"/>
                <w:szCs w:val="20"/>
                <w:lang w:val="es-ES_tradnl"/>
              </w:rPr>
            </w:pPr>
            <w:r w:rsidRPr="004F699C">
              <w:rPr>
                <w:rFonts w:ascii="Arial" w:eastAsia="Calibri" w:hAnsi="Arial" w:cs="Times New Roman"/>
                <w:szCs w:val="20"/>
                <w:lang w:val="es-ES_tradnl"/>
              </w:rPr>
              <w:t>IV. Todas las demás que se desprendan de este reglamento y las que deriven de la Ley Orgánica de la Administración Pública Municipal y demás disposiciones relacionadas con el servicio público de mercados municipales.</w:t>
            </w:r>
          </w:p>
          <w:p w:rsidR="004F699C" w:rsidRPr="004F699C" w:rsidRDefault="004F699C" w:rsidP="004F699C">
            <w:pPr>
              <w:jc w:val="both"/>
              <w:rPr>
                <w:rFonts w:ascii="Arial" w:eastAsia="Times New Roman" w:hAnsi="Arial" w:cs="Arial"/>
                <w:lang w:val="es-ES" w:eastAsia="es-ES"/>
              </w:rPr>
            </w:pPr>
          </w:p>
        </w:tc>
        <w:tc>
          <w:tcPr>
            <w:tcW w:w="4489" w:type="dxa"/>
          </w:tcPr>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ARTÍCULO 15.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 xml:space="preserve"> </w:t>
            </w:r>
            <w:proofErr w:type="spellStart"/>
            <w:r w:rsidRPr="004F699C">
              <w:rPr>
                <w:rFonts w:ascii="Arial" w:eastAsia="Times New Roman" w:hAnsi="Arial" w:cs="Arial"/>
                <w:lang w:val="es-ES" w:eastAsia="es-ES"/>
              </w:rPr>
              <w:t>I.a</w:t>
            </w:r>
            <w:proofErr w:type="spellEnd"/>
            <w:r w:rsidRPr="004F699C">
              <w:rPr>
                <w:rFonts w:ascii="Arial" w:eastAsia="Times New Roman" w:hAnsi="Arial" w:cs="Arial"/>
                <w:lang w:val="es-ES" w:eastAsia="es-ES"/>
              </w:rPr>
              <w:t xml:space="preserve"> III. …</w:t>
            </w:r>
          </w:p>
          <w:p w:rsidR="004F699C" w:rsidRPr="004F699C" w:rsidRDefault="004F699C" w:rsidP="004F699C">
            <w:pPr>
              <w:jc w:val="both"/>
              <w:rPr>
                <w:rFonts w:ascii="Arial" w:eastAsia="Helvetica" w:hAnsi="Arial" w:cs="Arial"/>
                <w:color w:val="000000"/>
                <w:szCs w:val="18"/>
                <w:bdr w:val="nil"/>
                <w:lang w:eastAsia="es-MX"/>
              </w:rPr>
            </w:pPr>
          </w:p>
          <w:p w:rsidR="004F699C" w:rsidRPr="004F699C" w:rsidRDefault="004F699C" w:rsidP="004F699C">
            <w:pPr>
              <w:jc w:val="both"/>
              <w:rPr>
                <w:rFonts w:ascii="Arial" w:eastAsia="Helvetica" w:hAnsi="Arial" w:cs="Arial"/>
                <w:color w:val="000000"/>
                <w:szCs w:val="18"/>
                <w:bdr w:val="nil"/>
                <w:lang w:eastAsia="es-MX"/>
              </w:rPr>
            </w:pPr>
          </w:p>
          <w:p w:rsidR="004F699C" w:rsidRPr="004F699C" w:rsidRDefault="004F699C" w:rsidP="004F699C">
            <w:pPr>
              <w:jc w:val="both"/>
              <w:rPr>
                <w:rFonts w:ascii="Arial" w:eastAsia="Helvetica" w:hAnsi="Arial" w:cs="Arial"/>
                <w:color w:val="000000"/>
                <w:szCs w:val="18"/>
                <w:bdr w:val="nil"/>
                <w:lang w:eastAsia="es-MX"/>
              </w:rPr>
            </w:pPr>
            <w:r w:rsidRPr="004F699C">
              <w:rPr>
                <w:rFonts w:ascii="Arial" w:eastAsia="Helvetica" w:hAnsi="Arial" w:cs="Arial"/>
                <w:color w:val="000000"/>
                <w:szCs w:val="18"/>
                <w:bdr w:val="nil"/>
                <w:lang w:eastAsia="es-MX"/>
              </w:rPr>
              <w:t>IV. Todas las demás que se desprendan de este reglamento y las que deriven de la Ley de Gobierno Municipal del Estado de Nuevo León y demás disposiciones relacionadas con el servicio público de mercados municipales.</w:t>
            </w:r>
          </w:p>
          <w:p w:rsidR="004F699C" w:rsidRPr="004F699C" w:rsidRDefault="004F699C" w:rsidP="004F699C">
            <w:pPr>
              <w:pBdr>
                <w:top w:val="nil"/>
                <w:left w:val="nil"/>
                <w:bottom w:val="nil"/>
                <w:right w:val="nil"/>
                <w:between w:val="nil"/>
                <w:bar w:val="nil"/>
              </w:pBdr>
              <w:jc w:val="both"/>
              <w:rPr>
                <w:rFonts w:ascii="Arial" w:eastAsia="Helvetica" w:hAnsi="Arial" w:cs="Arial"/>
                <w:color w:val="000000"/>
                <w:szCs w:val="18"/>
                <w:bdr w:val="nil"/>
                <w:lang w:eastAsia="es-MX"/>
              </w:rPr>
            </w:pPr>
          </w:p>
        </w:tc>
      </w:tr>
      <w:tr w:rsidR="004F699C" w:rsidRPr="004F699C" w:rsidTr="007B0206">
        <w:trPr>
          <w:trHeight w:val="533"/>
        </w:trPr>
        <w:tc>
          <w:tcPr>
            <w:tcW w:w="4489" w:type="dxa"/>
          </w:tcPr>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lastRenderedPageBreak/>
              <w:t>ARTÍCULO 16. El Secretario del R. Ayuntamiento tendrá las siguientes atribuciones:</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 xml:space="preserve"> I. a V</w:t>
            </w:r>
            <w:proofErr w:type="gramStart"/>
            <w:r w:rsidRPr="004F699C">
              <w:rPr>
                <w:rFonts w:ascii="Arial" w:eastAsia="Times New Roman" w:hAnsi="Arial" w:cs="Arial"/>
                <w:lang w:val="es-ES" w:eastAsia="es-ES"/>
              </w:rPr>
              <w:t>. …</w:t>
            </w:r>
            <w:proofErr w:type="gramEnd"/>
            <w:r w:rsidRPr="004F699C">
              <w:rPr>
                <w:rFonts w:ascii="Arial" w:eastAsia="Times New Roman" w:hAnsi="Arial" w:cs="Arial"/>
                <w:lang w:val="es-ES" w:eastAsia="es-ES"/>
              </w:rPr>
              <w:t xml:space="preserve">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VI. Las demás que se desprendan de la Ley Orgánica de la Administración Pública Municipal, del Reglamento de la Administración Pública del Municipio de Monterrey, de este Reglamento y demás disposiciones relacionadas con el funcionamiento de los mercados municipales.</w:t>
            </w:r>
          </w:p>
        </w:tc>
        <w:tc>
          <w:tcPr>
            <w:tcW w:w="4489" w:type="dxa"/>
          </w:tcPr>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ARTÍCULO 16. El Secretario del Ayuntamiento tendrá las siguientes atribuciones:</w:t>
            </w: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 xml:space="preserve"> I. a V</w:t>
            </w:r>
            <w:proofErr w:type="gramStart"/>
            <w:r w:rsidRPr="004F699C">
              <w:rPr>
                <w:rFonts w:ascii="Arial" w:eastAsia="Times New Roman" w:hAnsi="Arial" w:cs="Arial"/>
                <w:lang w:val="es-ES" w:eastAsia="es-ES"/>
              </w:rPr>
              <w:t>. …</w:t>
            </w:r>
            <w:proofErr w:type="gramEnd"/>
            <w:r w:rsidRPr="004F699C">
              <w:rPr>
                <w:rFonts w:ascii="Arial" w:eastAsia="Times New Roman" w:hAnsi="Arial" w:cs="Arial"/>
                <w:lang w:val="es-ES" w:eastAsia="es-ES"/>
              </w:rPr>
              <w:t xml:space="preserve">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pBdr>
                <w:top w:val="nil"/>
                <w:left w:val="nil"/>
                <w:bottom w:val="nil"/>
                <w:right w:val="nil"/>
                <w:between w:val="nil"/>
                <w:bar w:val="nil"/>
              </w:pBdr>
              <w:jc w:val="both"/>
              <w:rPr>
                <w:rFonts w:ascii="Arial" w:eastAsia="Helvetica" w:hAnsi="Arial" w:cs="Arial"/>
                <w:color w:val="000000"/>
                <w:bdr w:val="nil"/>
                <w:lang w:eastAsia="es-MX"/>
              </w:rPr>
            </w:pPr>
            <w:r w:rsidRPr="004F699C">
              <w:rPr>
                <w:rFonts w:ascii="Arial" w:eastAsia="Helvetica" w:hAnsi="Arial" w:cs="Arial"/>
                <w:color w:val="000000"/>
                <w:bdr w:val="nil"/>
                <w:lang w:eastAsia="es-MX"/>
              </w:rPr>
              <w:t>VI. Las demás que se desprendan de la Ley de Gobierno Municipal del Estado de Nuevo León, del Reglamento de la Administración Pública del Municipio de Monterrey, de este Reglamento y demás disposiciones relacionadas con el funcionamiento de los mercados municipales.</w:t>
            </w:r>
          </w:p>
        </w:tc>
      </w:tr>
      <w:tr w:rsidR="004F699C" w:rsidRPr="004F699C" w:rsidTr="007B0206">
        <w:trPr>
          <w:trHeight w:val="2707"/>
        </w:trPr>
        <w:tc>
          <w:tcPr>
            <w:tcW w:w="4489" w:type="dxa"/>
          </w:tcPr>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ARTÍCULO 18.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I. a IV.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V. Las demás que se desprendan de la Ley Orgánica de la Administración Pública Municipal del Reglamento para la Administración Pública de Monterrey y del presente Reglamento.</w:t>
            </w:r>
          </w:p>
          <w:p w:rsidR="004F699C" w:rsidRPr="004F699C" w:rsidRDefault="004F699C" w:rsidP="004F699C">
            <w:pPr>
              <w:jc w:val="both"/>
              <w:rPr>
                <w:rFonts w:ascii="Arial" w:eastAsia="Times New Roman" w:hAnsi="Arial" w:cs="Arial"/>
                <w:lang w:val="es-ES" w:eastAsia="es-ES"/>
              </w:rPr>
            </w:pPr>
          </w:p>
        </w:tc>
        <w:tc>
          <w:tcPr>
            <w:tcW w:w="4489" w:type="dxa"/>
          </w:tcPr>
          <w:p w:rsidR="004F699C" w:rsidRPr="004F699C" w:rsidRDefault="004F699C" w:rsidP="004F699C">
            <w:pPr>
              <w:jc w:val="both"/>
              <w:rPr>
                <w:rFonts w:ascii="Arial" w:eastAsia="Helvetica" w:hAnsi="Arial" w:cs="Arial"/>
                <w:color w:val="000000"/>
                <w:szCs w:val="18"/>
                <w:bdr w:val="nil"/>
                <w:lang w:eastAsia="es-MX"/>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ARTÍCULO 18.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I. a IV. …</w:t>
            </w:r>
          </w:p>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lang w:val="es-ES" w:eastAsia="es-ES"/>
              </w:rPr>
              <w:t>V. Las demás que se desprendan de la Ley de Gobierno Municipal del Estado de Nuevo León, del Reglamento para la Administración Pública de Monterrey y del presente Reglamento.</w:t>
            </w:r>
          </w:p>
          <w:p w:rsidR="004F699C" w:rsidRPr="004F699C" w:rsidRDefault="004F699C" w:rsidP="004F699C">
            <w:pPr>
              <w:pBdr>
                <w:top w:val="nil"/>
                <w:left w:val="nil"/>
                <w:bottom w:val="nil"/>
                <w:right w:val="nil"/>
                <w:between w:val="nil"/>
                <w:bar w:val="nil"/>
              </w:pBdr>
              <w:jc w:val="both"/>
              <w:rPr>
                <w:rFonts w:ascii="Arial" w:eastAsia="Helvetica" w:hAnsi="Arial" w:cs="Arial"/>
                <w:color w:val="000000"/>
                <w:szCs w:val="18"/>
                <w:bdr w:val="nil"/>
                <w:lang w:eastAsia="es-MX"/>
              </w:rPr>
            </w:pPr>
          </w:p>
        </w:tc>
      </w:tr>
      <w:tr w:rsidR="004F699C" w:rsidRPr="004F699C" w:rsidTr="007B0206">
        <w:trPr>
          <w:trHeight w:val="7200"/>
        </w:trPr>
        <w:tc>
          <w:tcPr>
            <w:tcW w:w="4489" w:type="dxa"/>
          </w:tcPr>
          <w:p w:rsidR="004F699C" w:rsidRPr="004F699C" w:rsidRDefault="004F699C" w:rsidP="004F699C">
            <w:pPr>
              <w:jc w:val="both"/>
              <w:rPr>
                <w:rFonts w:ascii="Arial" w:eastAsia="Times New Roman" w:hAnsi="Arial" w:cs="Arial"/>
                <w:lang w:val="es-ES" w:eastAsia="es-ES"/>
              </w:rPr>
            </w:pPr>
          </w:p>
        </w:tc>
        <w:tc>
          <w:tcPr>
            <w:tcW w:w="4489" w:type="dxa"/>
          </w:tcPr>
          <w:p w:rsidR="004F699C" w:rsidRPr="004F699C" w:rsidRDefault="004F699C" w:rsidP="004F699C">
            <w:pPr>
              <w:jc w:val="both"/>
              <w:rPr>
                <w:rFonts w:ascii="Arial" w:eastAsia="Times New Roman" w:hAnsi="Arial" w:cs="Arial"/>
                <w:lang w:val="es-ES" w:eastAsia="es-ES"/>
              </w:rPr>
            </w:pPr>
          </w:p>
          <w:p w:rsidR="004F699C" w:rsidRPr="004F699C" w:rsidRDefault="004F699C" w:rsidP="004F699C">
            <w:pPr>
              <w:jc w:val="both"/>
              <w:rPr>
                <w:rFonts w:ascii="Arial" w:eastAsia="Helvetica" w:hAnsi="Arial" w:cs="Arial"/>
                <w:color w:val="000000"/>
                <w:szCs w:val="18"/>
                <w:bdr w:val="nil"/>
                <w:lang w:eastAsia="es-MX"/>
              </w:rPr>
            </w:pPr>
            <w:r w:rsidRPr="004F699C">
              <w:rPr>
                <w:rFonts w:ascii="Arial" w:eastAsia="Helvetica" w:hAnsi="Arial" w:cs="Arial"/>
                <w:color w:val="000000"/>
                <w:szCs w:val="18"/>
                <w:bdr w:val="nil"/>
                <w:lang w:eastAsia="es-MX"/>
              </w:rPr>
              <w:t>CAPÍTULO VII</w:t>
            </w:r>
          </w:p>
          <w:p w:rsidR="004F699C" w:rsidRPr="004F699C" w:rsidRDefault="004F699C" w:rsidP="004F699C">
            <w:pPr>
              <w:jc w:val="both"/>
              <w:rPr>
                <w:rFonts w:ascii="Arial" w:eastAsia="Helvetica" w:hAnsi="Arial" w:cs="Arial"/>
                <w:color w:val="000000"/>
                <w:szCs w:val="18"/>
                <w:bdr w:val="nil"/>
                <w:lang w:eastAsia="es-MX"/>
              </w:rPr>
            </w:pPr>
            <w:r w:rsidRPr="004F699C">
              <w:rPr>
                <w:rFonts w:ascii="Arial" w:eastAsia="Helvetica" w:hAnsi="Arial" w:cs="Arial"/>
                <w:color w:val="000000"/>
                <w:szCs w:val="18"/>
                <w:bdr w:val="nil"/>
                <w:lang w:eastAsia="es-MX"/>
              </w:rPr>
              <w:t>DEL PROCEDIMIENTO DE REVISIÓN Y CONSULTA.</w:t>
            </w:r>
          </w:p>
          <w:p w:rsidR="004F699C" w:rsidRPr="004F699C" w:rsidRDefault="004F699C" w:rsidP="004F699C">
            <w:pPr>
              <w:jc w:val="both"/>
              <w:rPr>
                <w:rFonts w:ascii="Arial" w:eastAsia="Helvetica" w:hAnsi="Arial" w:cs="Arial"/>
                <w:color w:val="000000"/>
                <w:szCs w:val="18"/>
                <w:bdr w:val="nil"/>
                <w:lang w:eastAsia="es-MX"/>
              </w:rPr>
            </w:pPr>
          </w:p>
          <w:p w:rsidR="004F699C" w:rsidRPr="004F699C" w:rsidRDefault="004F699C" w:rsidP="004F699C">
            <w:pPr>
              <w:jc w:val="both"/>
              <w:rPr>
                <w:rFonts w:ascii="Arial" w:eastAsia="Helvetica" w:hAnsi="Arial" w:cs="Arial"/>
                <w:color w:val="000000"/>
                <w:szCs w:val="18"/>
                <w:bdr w:val="nil"/>
                <w:lang w:eastAsia="es-MX"/>
              </w:rPr>
            </w:pPr>
            <w:r w:rsidRPr="004F699C">
              <w:rPr>
                <w:rFonts w:ascii="Arial" w:eastAsia="Helvetica" w:hAnsi="Arial" w:cs="Arial"/>
                <w:color w:val="000000"/>
                <w:szCs w:val="18"/>
                <w:bdr w:val="nil"/>
                <w:lang w:eastAsia="es-MX"/>
              </w:rPr>
              <w:t>ARTÍCULO 49.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4F699C" w:rsidRPr="004F699C" w:rsidRDefault="004F699C" w:rsidP="004F699C">
            <w:pPr>
              <w:jc w:val="both"/>
              <w:rPr>
                <w:rFonts w:ascii="Arial" w:eastAsia="Helvetica" w:hAnsi="Arial" w:cs="Arial"/>
                <w:color w:val="000000"/>
                <w:szCs w:val="18"/>
                <w:bdr w:val="nil"/>
                <w:lang w:eastAsia="es-MX"/>
              </w:rPr>
            </w:pPr>
          </w:p>
          <w:p w:rsidR="004F699C" w:rsidRPr="004F699C" w:rsidRDefault="004F699C" w:rsidP="004F699C">
            <w:pPr>
              <w:jc w:val="both"/>
              <w:rPr>
                <w:rFonts w:ascii="Arial" w:eastAsia="Times New Roman" w:hAnsi="Arial" w:cs="Arial"/>
                <w:szCs w:val="18"/>
                <w:lang w:val="es-ES" w:eastAsia="es-ES"/>
              </w:rPr>
            </w:pPr>
            <w:r w:rsidRPr="004F699C">
              <w:rPr>
                <w:rFonts w:ascii="Arial" w:eastAsia="Times New Roman" w:hAnsi="Arial" w:cs="Arial"/>
                <w:szCs w:val="18"/>
                <w:lang w:val="es-ES" w:eastAsia="es-ES"/>
              </w:rPr>
              <w:t>ARTÍCULO 50.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tc>
      </w:tr>
      <w:tr w:rsidR="004F699C" w:rsidRPr="004F699C" w:rsidTr="007B0206">
        <w:trPr>
          <w:trHeight w:val="2284"/>
        </w:trPr>
        <w:tc>
          <w:tcPr>
            <w:tcW w:w="4489" w:type="dxa"/>
          </w:tcPr>
          <w:p w:rsidR="004F699C" w:rsidRPr="004F699C" w:rsidRDefault="004F699C" w:rsidP="004F699C">
            <w:pPr>
              <w:jc w:val="both"/>
              <w:rPr>
                <w:rFonts w:ascii="Arial" w:eastAsia="Times New Roman" w:hAnsi="Arial" w:cs="Arial"/>
                <w:lang w:val="es-ES" w:eastAsia="es-ES"/>
              </w:rPr>
            </w:pPr>
          </w:p>
        </w:tc>
        <w:tc>
          <w:tcPr>
            <w:tcW w:w="4489" w:type="dxa"/>
          </w:tcPr>
          <w:p w:rsidR="004F699C" w:rsidRPr="004F699C" w:rsidRDefault="004F699C" w:rsidP="004F699C">
            <w:pPr>
              <w:jc w:val="both"/>
              <w:rPr>
                <w:rFonts w:ascii="Arial" w:eastAsia="Helvetica" w:hAnsi="Arial" w:cs="Arial"/>
                <w:color w:val="000000"/>
                <w:szCs w:val="18"/>
                <w:bdr w:val="nil"/>
                <w:lang w:eastAsia="es-MX"/>
              </w:rPr>
            </w:pPr>
            <w:r w:rsidRPr="004F699C">
              <w:rPr>
                <w:rFonts w:ascii="Arial" w:eastAsia="Helvetica" w:hAnsi="Arial" w:cs="Arial"/>
                <w:color w:val="000000"/>
                <w:szCs w:val="18"/>
                <w:bdr w:val="nil"/>
                <w:lang w:eastAsia="es-MX"/>
              </w:rPr>
              <w:t>CAPÍTULO VIII</w:t>
            </w:r>
          </w:p>
          <w:p w:rsidR="004F699C" w:rsidRPr="004F699C" w:rsidRDefault="004F699C" w:rsidP="004F699C">
            <w:pPr>
              <w:jc w:val="both"/>
              <w:rPr>
                <w:rFonts w:ascii="Arial" w:eastAsia="Helvetica" w:hAnsi="Arial" w:cs="Arial"/>
                <w:b/>
                <w:color w:val="000000"/>
                <w:szCs w:val="18"/>
                <w:bdr w:val="nil"/>
                <w:lang w:eastAsia="es-MX"/>
              </w:rPr>
            </w:pPr>
            <w:r w:rsidRPr="004F699C">
              <w:rPr>
                <w:rFonts w:ascii="Arial" w:eastAsia="Helvetica" w:hAnsi="Arial" w:cs="Arial"/>
                <w:color w:val="000000"/>
                <w:szCs w:val="18"/>
                <w:bdr w:val="nil"/>
                <w:lang w:eastAsia="es-MX"/>
              </w:rPr>
              <w:t>DEL RECURSO ÚNICO DE INCONFORMIDAD.</w:t>
            </w:r>
          </w:p>
          <w:p w:rsidR="004F699C" w:rsidRPr="004F699C" w:rsidRDefault="004F699C" w:rsidP="004F699C">
            <w:pPr>
              <w:jc w:val="both"/>
              <w:rPr>
                <w:rFonts w:ascii="Arial" w:eastAsia="Helvetica" w:hAnsi="Arial" w:cs="Arial"/>
                <w:color w:val="000000"/>
                <w:szCs w:val="18"/>
                <w:bdr w:val="nil"/>
                <w:lang w:eastAsia="es-MX"/>
              </w:rPr>
            </w:pPr>
          </w:p>
          <w:p w:rsidR="004F699C" w:rsidRPr="004F699C" w:rsidRDefault="004F699C" w:rsidP="004F699C">
            <w:pPr>
              <w:jc w:val="both"/>
              <w:rPr>
                <w:rFonts w:ascii="Arial" w:eastAsia="Helvetica" w:hAnsi="Arial" w:cs="Arial"/>
                <w:color w:val="000000"/>
                <w:szCs w:val="18"/>
                <w:bdr w:val="nil"/>
                <w:lang w:eastAsia="es-MX"/>
              </w:rPr>
            </w:pPr>
            <w:r w:rsidRPr="004F699C">
              <w:rPr>
                <w:rFonts w:ascii="Arial" w:eastAsia="Helvetica" w:hAnsi="Arial" w:cs="Arial"/>
                <w:color w:val="000000"/>
                <w:szCs w:val="18"/>
                <w:bdr w:val="nil"/>
                <w:lang w:eastAsia="es-MX"/>
              </w:rPr>
              <w:t>ARTÍCULO 51. El Procedimiento Administrativo único de recurso de inconformidad procederá en contra de los actos emitidos por las autoridades del municipio de Monterrey, con excepción de aquellos recursos cuyo procedimiento este regulado en la Legislación Estatal.</w:t>
            </w:r>
          </w:p>
          <w:p w:rsidR="004F699C" w:rsidRPr="004F699C" w:rsidRDefault="004F699C" w:rsidP="004F699C">
            <w:pPr>
              <w:jc w:val="both"/>
              <w:rPr>
                <w:rFonts w:ascii="Arial" w:eastAsia="Helvetica" w:hAnsi="Arial" w:cs="Arial"/>
                <w:color w:val="000000"/>
                <w:szCs w:val="18"/>
                <w:bdr w:val="nil"/>
                <w:lang w:eastAsia="es-MX"/>
              </w:rPr>
            </w:pPr>
          </w:p>
          <w:p w:rsidR="004F699C" w:rsidRPr="004F699C" w:rsidRDefault="004F699C" w:rsidP="004F699C">
            <w:pPr>
              <w:jc w:val="both"/>
              <w:rPr>
                <w:rFonts w:ascii="Arial" w:eastAsia="Times New Roman" w:hAnsi="Arial" w:cs="Arial"/>
                <w:lang w:val="es-ES" w:eastAsia="es-ES"/>
              </w:rPr>
            </w:pPr>
            <w:r w:rsidRPr="004F699C">
              <w:rPr>
                <w:rFonts w:ascii="Arial" w:eastAsia="Times New Roman" w:hAnsi="Arial" w:cs="Arial"/>
                <w:szCs w:val="18"/>
                <w:lang w:val="es-ES" w:eastAsia="es-ES"/>
              </w:rPr>
              <w:t>ARTÍCULO 52.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tc>
      </w:tr>
      <w:tr w:rsidR="004F699C" w:rsidRPr="004F699C" w:rsidTr="007B0206">
        <w:trPr>
          <w:trHeight w:val="1217"/>
        </w:trPr>
        <w:tc>
          <w:tcPr>
            <w:tcW w:w="8978" w:type="dxa"/>
            <w:gridSpan w:val="2"/>
            <w:tcBorders>
              <w:bottom w:val="single" w:sz="4" w:space="0" w:color="auto"/>
            </w:tcBorders>
          </w:tcPr>
          <w:p w:rsidR="004F699C" w:rsidRPr="004F699C" w:rsidRDefault="004F699C" w:rsidP="004F699C">
            <w:pPr>
              <w:jc w:val="center"/>
              <w:rPr>
                <w:rFonts w:ascii="Arial" w:eastAsia="Helvetica" w:hAnsi="Arial" w:cs="Arial"/>
                <w:b/>
                <w:color w:val="000000"/>
                <w:szCs w:val="18"/>
                <w:bdr w:val="nil"/>
                <w:lang w:eastAsia="es-MX"/>
              </w:rPr>
            </w:pPr>
          </w:p>
          <w:p w:rsidR="004F699C" w:rsidRPr="004F699C" w:rsidRDefault="004F699C" w:rsidP="004F699C">
            <w:pPr>
              <w:jc w:val="center"/>
              <w:rPr>
                <w:rFonts w:ascii="Arial" w:eastAsia="Helvetica" w:hAnsi="Arial" w:cs="Arial"/>
                <w:b/>
                <w:color w:val="000000"/>
                <w:szCs w:val="18"/>
                <w:bdr w:val="nil"/>
                <w:lang w:eastAsia="es-MX"/>
              </w:rPr>
            </w:pPr>
            <w:r w:rsidRPr="004F699C">
              <w:rPr>
                <w:rFonts w:ascii="Arial" w:eastAsia="Helvetica" w:hAnsi="Arial" w:cs="Arial"/>
                <w:b/>
                <w:color w:val="000000"/>
                <w:szCs w:val="18"/>
                <w:bdr w:val="nil"/>
                <w:lang w:eastAsia="es-MX"/>
              </w:rPr>
              <w:t>TRANSITORIO</w:t>
            </w:r>
          </w:p>
          <w:p w:rsidR="004F699C" w:rsidRPr="004F699C" w:rsidRDefault="004F699C" w:rsidP="004F699C">
            <w:pPr>
              <w:jc w:val="center"/>
              <w:rPr>
                <w:rFonts w:ascii="Arial" w:eastAsia="Helvetica" w:hAnsi="Arial" w:cs="Arial"/>
                <w:b/>
                <w:color w:val="000000"/>
                <w:szCs w:val="18"/>
                <w:bdr w:val="nil"/>
                <w:lang w:eastAsia="es-MX"/>
              </w:rPr>
            </w:pPr>
          </w:p>
          <w:p w:rsidR="004F699C" w:rsidRPr="004F699C" w:rsidRDefault="004F699C" w:rsidP="004F699C">
            <w:pPr>
              <w:jc w:val="both"/>
              <w:rPr>
                <w:rFonts w:ascii="Arial" w:eastAsia="Times New Roman" w:hAnsi="Arial" w:cs="Arial"/>
                <w:b/>
                <w:szCs w:val="18"/>
                <w:lang w:val="es-ES" w:eastAsia="es-ES"/>
              </w:rPr>
            </w:pPr>
            <w:r w:rsidRPr="004F699C">
              <w:rPr>
                <w:rFonts w:ascii="Arial" w:eastAsia="Times New Roman" w:hAnsi="Arial" w:cs="Times New Roman"/>
                <w:lang w:val="es-ES" w:eastAsia="es-ES"/>
              </w:rPr>
              <w:t xml:space="preserve">ÚNICO. Las presentes reformas </w:t>
            </w:r>
            <w:r w:rsidRPr="004F699C">
              <w:rPr>
                <w:rFonts w:ascii="Arial" w:eastAsia="Times New Roman" w:hAnsi="Arial" w:cs="Times New Roman"/>
                <w:szCs w:val="24"/>
                <w:lang w:val="es-ES" w:eastAsia="es-ES"/>
              </w:rPr>
              <w:t>entrarán en vigor a partir de su publicación en el Periódico Oficial del Estado</w:t>
            </w:r>
            <w:r w:rsidRPr="004F699C">
              <w:rPr>
                <w:rFonts w:ascii="Arial" w:eastAsia="Times New Roman" w:hAnsi="Arial" w:cs="Times New Roman"/>
                <w:lang w:val="es-ES" w:eastAsia="es-ES"/>
              </w:rPr>
              <w:t>.</w:t>
            </w:r>
          </w:p>
        </w:tc>
      </w:tr>
    </w:tbl>
    <w:p w:rsidR="004F699C" w:rsidRPr="004F699C" w:rsidRDefault="004F699C" w:rsidP="004F699C">
      <w:pPr>
        <w:spacing w:after="0" w:line="240" w:lineRule="auto"/>
        <w:jc w:val="both"/>
        <w:rPr>
          <w:rFonts w:ascii="Arial" w:eastAsia="Times New Roman" w:hAnsi="Arial" w:cs="Arial"/>
          <w:b/>
          <w:color w:val="000000"/>
          <w:lang w:val="es-ES" w:eastAsia="es-MX"/>
        </w:rPr>
      </w:pPr>
    </w:p>
    <w:p w:rsidR="00296CF9" w:rsidRPr="004F699C" w:rsidRDefault="00296CF9">
      <w:pPr>
        <w:rPr>
          <w:lang w:val="es-ES"/>
        </w:rPr>
      </w:pPr>
    </w:p>
    <w:sectPr w:rsidR="00296CF9" w:rsidRPr="004F69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9C"/>
    <w:rsid w:val="00296CF9"/>
    <w:rsid w:val="003674C6"/>
    <w:rsid w:val="004F6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F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F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2</cp:revision>
  <dcterms:created xsi:type="dcterms:W3CDTF">2016-02-15T17:21:00Z</dcterms:created>
  <dcterms:modified xsi:type="dcterms:W3CDTF">2016-02-15T18:11:00Z</dcterms:modified>
</cp:coreProperties>
</file>